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6596" w:rsidRDefault="00000000">
      <w:pPr>
        <w:pStyle w:val="Heading5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0" w:name="_3znysh7"/>
      <w:bookmarkEnd w:id="0"/>
      <w:r>
        <w:rPr>
          <w:rFonts w:ascii="Times New Roman" w:hAnsi="Times New Roman"/>
          <w:color w:val="000000"/>
          <w:sz w:val="20"/>
          <w:szCs w:val="20"/>
        </w:rPr>
        <w:t>Додаток 1</w:t>
      </w:r>
    </w:p>
    <w:p w:rsidR="003D6596" w:rsidRDefault="00000000">
      <w:pPr>
        <w:ind w:left="4111"/>
        <w:jc w:val="both"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до </w:t>
      </w:r>
      <w:r>
        <w:rPr>
          <w:rFonts w:ascii="Times New Roman" w:hAnsi="Times New Roman"/>
          <w:color w:val="000000"/>
          <w:sz w:val="20"/>
          <w:szCs w:val="20"/>
          <w:highlight w:val="white"/>
        </w:rPr>
        <w:t>Порядку доступу суб’єктів господарювання, які здійснюють виробництво та/або імпорт та/або оптову та/або роздрібну торгівлю товарами (продукцією), маркованими графічними елементами електронних марок акцизного податку, які виявили бажання взяти участь у випробуванні функціонування програмного забезпечення Електронної системи  обігу алкогольних напоїв, тютюнових виробів та рідин, що використовуються в електронних сигаретах</w:t>
      </w:r>
    </w:p>
    <w:p w:rsidR="003D6596" w:rsidRDefault="003D6596">
      <w:pPr>
        <w:jc w:val="right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3D6596" w:rsidRDefault="003D6596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"/>
        <w:tblW w:w="9465" w:type="dxa"/>
        <w:tblInd w:w="-22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4590"/>
      </w:tblGrid>
      <w:tr w:rsidR="003D6596">
        <w:trPr>
          <w:trHeight w:val="765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Державне підприємство “ДІЯ”</w:t>
            </w:r>
          </w:p>
          <w:p w:rsidR="003D6596" w:rsidRDefault="003D6596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D6596">
        <w:trPr>
          <w:trHeight w:val="750"/>
        </w:trPr>
        <w:tc>
          <w:tcPr>
            <w:tcW w:w="94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Відомості про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>суб’єкта господарювання, який виявив бажання взяти участь у випробуванні функціонування програмного забезпечення Електронної системи   обігу алкогольних напоїв, тютюнових виробів та рідин, що використовуються в електронних сигаретах у тестовому режимі *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D6596" w:rsidRDefault="003D659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6596">
        <w:trPr>
          <w:trHeight w:val="414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Найменування юридичної особи або прізвище, власне ім’я, по батькові  (за наявності)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3D6596">
            <w:pPr>
              <w:ind w:right="-6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D6596">
        <w:trPr>
          <w:trHeight w:val="300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Ідентифікаційний код згідно з ЄДРПОУ або реєстраційний номер облікової картки платника податків або серія (за наявності) та номер паспорта (для громадян України, до паспортів яких внесена відмітка, що свідчить про наявність права здійснювати будь-які платежі за серією (за наявності) та номером паспорта)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6596">
        <w:trPr>
          <w:trHeight w:val="1005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Податковий номер, наданий під час взяття на облік договору про спільну діяльність згідно з пунктом 63.6 статті 63 і пунктом 64.6 статті 64 Податкового кодексу України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6596">
        <w:trPr>
          <w:trHeight w:val="15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Номер мобільного телефону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6596">
        <w:trPr>
          <w:trHeight w:val="45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Адреса електронної пошти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6596">
        <w:trPr>
          <w:trHeight w:val="1200"/>
        </w:trPr>
        <w:tc>
          <w:tcPr>
            <w:tcW w:w="946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3D65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596" w:rsidRDefault="003D65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596" w:rsidRDefault="003D65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596" w:rsidRDefault="003D65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596" w:rsidRDefault="003D65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596" w:rsidRDefault="003D65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596" w:rsidRDefault="003D65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596" w:rsidRDefault="003D65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596" w:rsidRDefault="003D65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596" w:rsidRDefault="003D65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596" w:rsidRDefault="003D65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596" w:rsidRDefault="003D65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596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Відомості про керівника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  <w:t>суб’єкта господарювання, який виявив бажання взяти участь у випробуванні функціонування програмного забезпечення  Електронної системи   обігу алкогольних напоїв, тютюнових виробів та рідин, що використовуються в електронних сигаретах  у тестовому режимі</w:t>
            </w:r>
          </w:p>
          <w:p w:rsidR="003D6596" w:rsidRDefault="003D659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  <w:tr w:rsidR="003D6596">
        <w:trPr>
          <w:trHeight w:val="369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>Прізвище, власне ім’я, по батькові (за наявності)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6596">
        <w:trPr>
          <w:trHeight w:val="405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Реєстраційний номер облікової картки платника податків або серія (за наявності) та номер паспорта (для громадян України, до паспортів яких внесена відмітка, що свідчить про наявність права здійснювати будь-які платежі за серією (за наявності) та номером паспорта)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6596">
        <w:trPr>
          <w:trHeight w:val="105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Номер мобільного телефону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6596">
        <w:trPr>
          <w:trHeight w:val="75"/>
        </w:trPr>
        <w:tc>
          <w:tcPr>
            <w:tcW w:w="48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Адреса електронної пошти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00000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6596">
        <w:trPr>
          <w:trHeight w:val="320"/>
        </w:trPr>
        <w:tc>
          <w:tcPr>
            <w:tcW w:w="9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6596" w:rsidRDefault="003D659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D6596" w:rsidRDefault="00000000">
      <w:pPr>
        <w:rPr>
          <w:color w:val="000000"/>
          <w:sz w:val="24"/>
          <w:szCs w:val="24"/>
        </w:rPr>
      </w:pPr>
      <w:r>
        <w:br w:type="page"/>
      </w:r>
    </w:p>
    <w:p w:rsidR="003D6596" w:rsidRDefault="00000000">
      <w:pPr>
        <w:jc w:val="center"/>
        <w:rPr>
          <w:rFonts w:ascii="Times New Roman" w:hAnsi="Times New Roman"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lastRenderedPageBreak/>
        <w:t>ЗАЯВА</w:t>
      </w:r>
    </w:p>
    <w:p w:rsidR="003D6596" w:rsidRDefault="00000000">
      <w:pPr>
        <w:jc w:val="center"/>
        <w:rPr>
          <w:rFonts w:ascii="Times New Roman" w:hAnsi="Times New Roman"/>
          <w:i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про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надання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доступу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суб’єктів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господарювання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які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здійснюють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виробництво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або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імпорт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або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оптову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або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роздрібну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торгівлю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товарами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продукцією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маркованими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графічними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елементами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електронних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марок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акцизного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податку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які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виявили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бажання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взяти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участь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випробуванні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функціонування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програмного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забезпечення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Електронної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системи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обігу</w:t>
      </w:r>
      <w:proofErr w:type="spellEnd"/>
      <w:proofErr w:type="gram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алкогольних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напоїв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тютюнових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виробів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рідин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що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використовуються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електронних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сигаретах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тестовому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режимі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**</w:t>
      </w:r>
    </w:p>
    <w:p w:rsidR="003D6596" w:rsidRDefault="003D6596">
      <w:pPr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</w:p>
    <w:p w:rsidR="003D6596" w:rsidRDefault="00000000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Прошу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надати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доступ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до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Електронної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системи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обігу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алкогольних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напоїв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тютюнових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виробів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рідин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що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використовуються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електронних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сигаретах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тестовому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режиму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відповідно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до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постанови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Кабінету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Міністрів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України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від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4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жовтня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2024 р. № 1142 «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Деякі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питання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створення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функціонування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Електронної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системи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обігу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алкогольних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напоїв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тютюнових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виробів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рідин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що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використовуються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електронних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сигаретах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Порядку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доступу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суб’єктів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господарювання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які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здійснюють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виробництво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або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імпорт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або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оптову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або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роздрібну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торгівлю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товарами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продукцією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маркованими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графічними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елементами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електронних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марок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акцизного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податку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які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виявили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бажання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взяти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участь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випробуванні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функціонування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програмного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забезпечення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Електронної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системи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обігу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алкогольних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напоїв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тютюнових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виробів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рідин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що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використовуються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електронних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сигаретах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затвердженого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наказом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Державного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підприємства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“ДІЯ”.</w:t>
      </w:r>
    </w:p>
    <w:p w:rsidR="003D6596" w:rsidRDefault="00000000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Цією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заявою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підтверджую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наявність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відповідної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ліцензії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право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виробництва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або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право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оптової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торгівлі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алкогольними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напоями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тютюновими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виробами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рідинами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що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використовуються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електронних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сигаретах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або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право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роздрібної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торгівлі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алкогольними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напоями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тютюновими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виробами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рідинами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що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використовуються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електронних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сигаретах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.</w:t>
      </w:r>
    </w:p>
    <w:p w:rsidR="003D6596" w:rsidRDefault="00000000">
      <w:pPr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З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Порядком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доступу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суб’єктів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господарювання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які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здійснюють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виробництво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або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імпорт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або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оптову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або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роздрібну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торгівлю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товарами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продукцією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маркованими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графічними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елементами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електронних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марок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акцизного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податку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які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виявили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бажання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взяти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участь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у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випробуванні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функціонування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програмного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забезпечення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Електронної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системи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обігу</w:t>
      </w:r>
      <w:proofErr w:type="spellEnd"/>
      <w:proofErr w:type="gram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алкогольних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напоїв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тютюнових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виробів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рідин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що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використовуються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в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електронних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сигаретах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ознайомлений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та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зобов’язуюся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виконувати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  <w:lang w:val="en-US"/>
        </w:rPr>
        <w:t>.</w:t>
      </w:r>
    </w:p>
    <w:p w:rsidR="003D6596" w:rsidRDefault="003D6596">
      <w:pPr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</w:p>
    <w:p w:rsidR="003D6596" w:rsidRDefault="00000000">
      <w:pPr>
        <w:ind w:firstLine="567"/>
        <w:jc w:val="both"/>
        <w:rPr>
          <w:rFonts w:ascii="Times New Roman" w:hAnsi="Times New Roman"/>
          <w:i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*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найменування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та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ідентифікаційний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код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згідно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з ЄДРПОУ -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для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суб’єктів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господарювання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що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є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юридичними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особами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чи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відокремленими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підрозділами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юридичних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осіб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утворених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відповідно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законодавства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іноземної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держави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або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прізвище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власне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ім’я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батькові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наявності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та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реєстраційний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номер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облікової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картки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платника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податків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або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серія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наявності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та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номер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паспорта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для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громадян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України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паспортів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яких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внесена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відмітка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що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свідчить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про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наявність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права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здійснювати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будь-які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платежі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серією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наявності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та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номером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паспорта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) -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для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фізичних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осіб-підприємців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або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найменування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код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згідно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з ЄДРПОУ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та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податковий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номер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наданий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під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час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взяття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облік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договору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про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спільну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діяльність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згідно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з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пунктом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63.6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статті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63 і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пунктом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64.6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статті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64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Податкового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кодексу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України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-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для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особи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уповноваженої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ведення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обліку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діяльності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договорами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про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спільну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діяльність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без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утворення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юридичної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особи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.</w:t>
      </w:r>
    </w:p>
    <w:p w:rsidR="003D6596" w:rsidRDefault="00000000">
      <w:pPr>
        <w:ind w:firstLine="567"/>
        <w:jc w:val="both"/>
        <w:rPr>
          <w:rFonts w:ascii="Times New Roman" w:hAnsi="Times New Roman"/>
          <w:i/>
          <w:color w:val="000000"/>
          <w:sz w:val="20"/>
          <w:szCs w:val="20"/>
          <w:highlight w:val="cyan"/>
          <w:lang w:val="en-US"/>
        </w:rPr>
      </w:pPr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**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Ця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заява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заповнюється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та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зберігається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у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форматі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PDF,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підписується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шляхом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накладення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кваліфікованого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електронного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підпису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або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удосконаленого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електронного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підпису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що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базується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кваліфікованому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сертифікаті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відкритого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ключа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формат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підпису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PAdES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-B-LT, з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додаванням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повних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даних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для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перевірки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суб’єкта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господарювання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для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фізичних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осіб-підприємців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або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керівника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суб’єкта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господарювання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для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юридичних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осіб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)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допомогою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сервісу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створення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підпису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Інтегрованої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системи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електронної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ідентифікації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(https://id.gov.ua/sign)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та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подається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в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електронній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формі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адресу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електронної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пошти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r w:rsidRPr="00540236">
        <w:rPr>
          <w:rFonts w:ascii="Times New Roman" w:hAnsi="Times New Roman"/>
          <w:i/>
          <w:color w:val="000000" w:themeColor="text1"/>
          <w:sz w:val="20"/>
          <w:szCs w:val="20"/>
          <w:lang w:val="en-US"/>
        </w:rPr>
        <w:t>inbox</w:t>
      </w:r>
      <w:r w:rsidR="00540236" w:rsidRPr="00540236">
        <w:rPr>
          <w:rFonts w:ascii="Times New Roman" w:hAnsi="Times New Roman"/>
          <w:color w:val="000000" w:themeColor="text1"/>
          <w:sz w:val="20"/>
          <w:szCs w:val="20"/>
          <w:lang w:val="en-US"/>
        </w:rPr>
        <w:t>@</w:t>
      </w:r>
      <w:r w:rsidR="00540236" w:rsidRPr="00540236">
        <w:rPr>
          <w:rFonts w:ascii="Times New Roman" w:hAnsi="Times New Roman"/>
          <w:i/>
          <w:color w:val="000000" w:themeColor="text1"/>
          <w:sz w:val="20"/>
          <w:szCs w:val="20"/>
        </w:rPr>
        <w:t>exci</w:t>
      </w:r>
      <w:r w:rsidR="00540236" w:rsidRPr="00540236">
        <w:rPr>
          <w:rFonts w:ascii="Times New Roman" w:hAnsi="Times New Roman"/>
          <w:i/>
          <w:color w:val="000000" w:themeColor="text1"/>
          <w:sz w:val="20"/>
          <w:szCs w:val="20"/>
        </w:rPr>
        <w:t>s</w:t>
      </w:r>
      <w:r w:rsidR="00540236" w:rsidRPr="00540236">
        <w:rPr>
          <w:rFonts w:ascii="Times New Roman" w:hAnsi="Times New Roman"/>
          <w:i/>
          <w:color w:val="000000" w:themeColor="text1"/>
          <w:sz w:val="20"/>
          <w:szCs w:val="20"/>
        </w:rPr>
        <w:t>e.gov.ua</w:t>
      </w:r>
      <w:r w:rsidR="00540236"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Технічного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адміністратора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розміщену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гіперпосиланням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вебсторінці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реєстрації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у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вебінтерфейсі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Електронної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системи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із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зазначенням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теми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листа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: “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еАкциз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Заява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на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надання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доступу</w:t>
      </w:r>
      <w:proofErr w:type="spellEnd"/>
      <w:r>
        <w:rPr>
          <w:rFonts w:ascii="Times New Roman" w:hAnsi="Times New Roman"/>
          <w:i/>
          <w:color w:val="000000"/>
          <w:sz w:val="20"/>
          <w:szCs w:val="20"/>
          <w:lang w:val="en-US"/>
        </w:rPr>
        <w:t>”.</w:t>
      </w:r>
    </w:p>
    <w:sectPr w:rsidR="003D6596">
      <w:headerReference w:type="default" r:id="rId6"/>
      <w:headerReference w:type="first" r:id="rId7"/>
      <w:footerReference w:type="first" r:id="rId8"/>
      <w:pgSz w:w="11909" w:h="16834"/>
      <w:pgMar w:top="1133" w:right="570" w:bottom="1133" w:left="1700" w:header="720" w:footer="720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72EE" w:rsidRDefault="006872EE">
      <w:pPr>
        <w:spacing w:line="240" w:lineRule="auto"/>
      </w:pPr>
    </w:p>
  </w:endnote>
  <w:endnote w:type="continuationSeparator" w:id="0">
    <w:p w:rsidR="006872EE" w:rsidRDefault="006872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6596" w:rsidRDefault="003D65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72EE" w:rsidRDefault="006872EE">
      <w:pPr>
        <w:spacing w:line="240" w:lineRule="auto"/>
      </w:pPr>
    </w:p>
  </w:footnote>
  <w:footnote w:type="continuationSeparator" w:id="0">
    <w:p w:rsidR="006872EE" w:rsidRDefault="006872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6596" w:rsidRDefault="00000000">
    <w:pPr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#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6596" w:rsidRDefault="003D65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596"/>
    <w:rsid w:val="000A62FF"/>
    <w:rsid w:val="003D6596"/>
    <w:rsid w:val="00540236"/>
    <w:rsid w:val="006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0C8501"/>
  <w15:docId w15:val="{A39A46BC-0638-8040-ADC1-64E1F1C1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noteText">
    <w:name w:val="footnote text"/>
    <w:link w:val="FootnoteTextChar"/>
    <w:semiHidden/>
    <w:pPr>
      <w:spacing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402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2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Потаскалов Владислав</cp:lastModifiedBy>
  <cp:revision>2</cp:revision>
  <dcterms:created xsi:type="dcterms:W3CDTF">2025-02-28T15:43:00Z</dcterms:created>
  <dcterms:modified xsi:type="dcterms:W3CDTF">2025-02-28T15:43:00Z</dcterms:modified>
</cp:coreProperties>
</file>